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99" w:rsidRDefault="00EC1A59" w:rsidP="00F85699">
      <w:pPr>
        <w:pStyle w:val="clausenumber"/>
        <w:numPr>
          <w:ilvl w:val="0"/>
          <w:numId w:val="20"/>
        </w:numPr>
        <w:tabs>
          <w:tab w:val="clear" w:pos="284"/>
          <w:tab w:val="num" w:pos="360"/>
        </w:tabs>
        <w:spacing w:before="240"/>
        <w:ind w:left="360" w:hanging="36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85699">
        <w:rPr>
          <w:rFonts w:ascii="Arial" w:hAnsi="Arial" w:cs="Arial"/>
          <w:sz w:val="22"/>
          <w:szCs w:val="22"/>
        </w:rPr>
        <w:t xml:space="preserve">The </w:t>
      </w:r>
      <w:r w:rsidR="006F0E9B" w:rsidRPr="00F85699">
        <w:rPr>
          <w:rFonts w:ascii="Arial" w:hAnsi="Arial" w:cs="Arial"/>
          <w:sz w:val="22"/>
          <w:szCs w:val="22"/>
        </w:rPr>
        <w:t>Criminal Organisation Bill 2009</w:t>
      </w:r>
      <w:r w:rsidR="00500099" w:rsidRPr="00F85699">
        <w:rPr>
          <w:rFonts w:ascii="Arial" w:hAnsi="Arial" w:cs="Arial"/>
          <w:sz w:val="22"/>
          <w:szCs w:val="22"/>
        </w:rPr>
        <w:t xml:space="preserve"> allows for criminal organisations to be “declared” by the Supreme Court upon application by the Police Commissioner</w:t>
      </w:r>
      <w:r w:rsidR="00503C63" w:rsidRPr="00F85699">
        <w:rPr>
          <w:rFonts w:ascii="Arial" w:hAnsi="Arial" w:cs="Arial"/>
          <w:sz w:val="22"/>
          <w:szCs w:val="22"/>
        </w:rPr>
        <w:t xml:space="preserve"> and for members and associates of declared organisations, on application of the Police Commissioner, to be liable to have control orders imposed on them</w:t>
      </w:r>
      <w:r w:rsidR="00500099" w:rsidRPr="00F85699">
        <w:rPr>
          <w:rFonts w:ascii="Arial" w:hAnsi="Arial" w:cs="Arial"/>
          <w:sz w:val="22"/>
          <w:szCs w:val="22"/>
        </w:rPr>
        <w:t>.</w:t>
      </w:r>
      <w:r w:rsidR="00F85699" w:rsidRPr="00F85699">
        <w:rPr>
          <w:rFonts w:ascii="Arial" w:hAnsi="Arial" w:cs="Arial"/>
          <w:sz w:val="22"/>
          <w:szCs w:val="22"/>
        </w:rPr>
        <w:t xml:space="preserve"> </w:t>
      </w:r>
    </w:p>
    <w:p w:rsidR="00F85699" w:rsidRDefault="00F85699" w:rsidP="00F85699">
      <w:pPr>
        <w:pStyle w:val="clausenumber"/>
        <w:numPr>
          <w:ilvl w:val="0"/>
          <w:numId w:val="20"/>
        </w:numPr>
        <w:tabs>
          <w:tab w:val="clear" w:pos="284"/>
          <w:tab w:val="num" w:pos="360"/>
        </w:tabs>
        <w:spacing w:before="240"/>
        <w:ind w:left="360" w:hanging="360"/>
        <w:rPr>
          <w:rFonts w:ascii="Arial" w:hAnsi="Arial" w:cs="Arial"/>
          <w:sz w:val="22"/>
          <w:szCs w:val="22"/>
        </w:rPr>
      </w:pPr>
      <w:r w:rsidRPr="00F85699">
        <w:rPr>
          <w:rFonts w:ascii="Arial" w:hAnsi="Arial" w:cs="Arial"/>
          <w:sz w:val="22"/>
          <w:szCs w:val="22"/>
        </w:rPr>
        <w:t>Activities that may be controlled by an order include: associating with other persons; possessing stated weapons and other things; carrying or applying to carry on certain prescribed activities, e.g. in the gaming, liquor or security industry; entering or being in certain places; and recruiting new members into a criminal organisation.</w:t>
      </w:r>
    </w:p>
    <w:p w:rsidR="00500099" w:rsidRDefault="00500099" w:rsidP="00500099">
      <w:pPr>
        <w:pStyle w:val="clausenumber"/>
        <w:numPr>
          <w:ilvl w:val="0"/>
          <w:numId w:val="20"/>
        </w:numPr>
        <w:tabs>
          <w:tab w:val="clear" w:pos="284"/>
          <w:tab w:val="num" w:pos="360"/>
        </w:tabs>
        <w:spacing w:before="24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8569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ill also provides that:</w:t>
      </w:r>
    </w:p>
    <w:p w:rsidR="00503C63" w:rsidRDefault="00503C63" w:rsidP="00503C63">
      <w:pPr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the community are limited in the contact they can have with members of declared organisations and persons subject to a control order, including an anti-consorting offence;</w:t>
      </w:r>
    </w:p>
    <w:p w:rsidR="00503C63" w:rsidRDefault="00503C63" w:rsidP="00503C63">
      <w:pPr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controlled persons are prevented from working in areas where they might gain information beneficial to criminal organisations or in certain industries where a licence is required before employment;</w:t>
      </w:r>
    </w:p>
    <w:p w:rsidR="00F85699" w:rsidRDefault="00F85699" w:rsidP="00F85699">
      <w:pPr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85699">
        <w:rPr>
          <w:rFonts w:ascii="Arial" w:hAnsi="Arial" w:cs="Arial"/>
          <w:sz w:val="22"/>
          <w:szCs w:val="22"/>
        </w:rPr>
        <w:t>fortification removal order</w:t>
      </w:r>
      <w:r>
        <w:rPr>
          <w:rFonts w:ascii="Arial" w:hAnsi="Arial" w:cs="Arial"/>
          <w:sz w:val="22"/>
          <w:szCs w:val="22"/>
        </w:rPr>
        <w:t>s</w:t>
      </w:r>
      <w:r w:rsidRPr="00F85699">
        <w:rPr>
          <w:rFonts w:ascii="Arial" w:hAnsi="Arial" w:cs="Arial"/>
          <w:sz w:val="22"/>
          <w:szCs w:val="22"/>
        </w:rPr>
        <w:t xml:space="preserve"> can require an individual or organisation to</w:t>
      </w:r>
      <w:r>
        <w:rPr>
          <w:rFonts w:ascii="Arial" w:hAnsi="Arial" w:cs="Arial"/>
          <w:sz w:val="22"/>
          <w:szCs w:val="22"/>
        </w:rPr>
        <w:t xml:space="preserve"> </w:t>
      </w:r>
      <w:r w:rsidRPr="00F85699">
        <w:rPr>
          <w:rFonts w:ascii="Arial" w:hAnsi="Arial" w:cs="Arial"/>
          <w:sz w:val="22"/>
          <w:szCs w:val="22"/>
        </w:rPr>
        <w:t>modify or remove fortifications from particular premises</w:t>
      </w:r>
      <w:r>
        <w:rPr>
          <w:rFonts w:ascii="Arial" w:hAnsi="Arial" w:cs="Arial"/>
          <w:sz w:val="22"/>
          <w:szCs w:val="22"/>
        </w:rPr>
        <w:t>; and</w:t>
      </w:r>
    </w:p>
    <w:p w:rsidR="00503C63" w:rsidRDefault="00503C63" w:rsidP="00503C63">
      <w:pPr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safety orders may be made where, as a matter of public safety, it is necessary to prevent individuals or a class or persons from entering a nominated area for a limited period</w:t>
      </w:r>
      <w:r w:rsidR="00F85699">
        <w:rPr>
          <w:rFonts w:ascii="Arial" w:hAnsi="Arial" w:cs="Arial"/>
          <w:sz w:val="22"/>
          <w:szCs w:val="22"/>
        </w:rPr>
        <w:t>.</w:t>
      </w:r>
    </w:p>
    <w:p w:rsidR="009C1D0C" w:rsidRPr="0081615E" w:rsidRDefault="009C1D0C" w:rsidP="009C1D0C">
      <w:pPr>
        <w:pStyle w:val="clausenumber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81615E" w:rsidRDefault="0081615E" w:rsidP="00206E85">
      <w:pPr>
        <w:numPr>
          <w:ilvl w:val="0"/>
          <w:numId w:val="20"/>
        </w:numPr>
        <w:tabs>
          <w:tab w:val="clear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81615E">
        <w:rPr>
          <w:rFonts w:ascii="Arial" w:hAnsi="Arial" w:cs="Arial"/>
          <w:sz w:val="22"/>
          <w:szCs w:val="22"/>
          <w:u w:val="single"/>
        </w:rPr>
        <w:t>Cabinet approved</w:t>
      </w:r>
      <w:r w:rsidRPr="0081615E">
        <w:rPr>
          <w:rFonts w:ascii="Arial" w:hAnsi="Arial" w:cs="Arial"/>
          <w:sz w:val="22"/>
          <w:szCs w:val="22"/>
        </w:rPr>
        <w:t xml:space="preserve"> the introduction of the Criminal Organisation Bill 2009 into the Legislative Assembly. </w:t>
      </w:r>
    </w:p>
    <w:p w:rsidR="009C1D0C" w:rsidRPr="0081615E" w:rsidRDefault="009C1D0C" w:rsidP="00DC3EC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C1D0C" w:rsidRPr="009C1D0C" w:rsidRDefault="00EA00BF" w:rsidP="009C1D0C">
      <w:pPr>
        <w:numPr>
          <w:ilvl w:val="0"/>
          <w:numId w:val="20"/>
        </w:numPr>
        <w:tabs>
          <w:tab w:val="clear" w:pos="284"/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81615E">
        <w:rPr>
          <w:rFonts w:ascii="Arial" w:hAnsi="Arial" w:cs="Arial"/>
          <w:sz w:val="22"/>
          <w:szCs w:val="22"/>
          <w:u w:val="single"/>
        </w:rPr>
        <w:t>Attachment</w:t>
      </w:r>
      <w:r w:rsidR="009C1D0C">
        <w:rPr>
          <w:rFonts w:ascii="Arial" w:hAnsi="Arial" w:cs="Arial"/>
          <w:sz w:val="22"/>
          <w:szCs w:val="22"/>
          <w:u w:val="single"/>
        </w:rPr>
        <w:t>s</w:t>
      </w:r>
    </w:p>
    <w:p w:rsidR="009C1D0C" w:rsidRDefault="00A46027" w:rsidP="00DC3EC5">
      <w:pPr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81615E" w:rsidRPr="00DC3EC5">
          <w:rPr>
            <w:rStyle w:val="Hyperlink"/>
            <w:rFonts w:ascii="Arial" w:hAnsi="Arial" w:cs="Arial"/>
            <w:sz w:val="22"/>
            <w:szCs w:val="22"/>
          </w:rPr>
          <w:t xml:space="preserve">Criminal Organisation Bill </w:t>
        </w:r>
        <w:r w:rsidR="00EC1A59" w:rsidRPr="00DC3EC5">
          <w:rPr>
            <w:rStyle w:val="Hyperlink"/>
            <w:rFonts w:ascii="Arial" w:hAnsi="Arial" w:cs="Arial"/>
            <w:sz w:val="22"/>
            <w:szCs w:val="22"/>
          </w:rPr>
          <w:t>2009</w:t>
        </w:r>
      </w:hyperlink>
      <w:r w:rsidR="00EC1A59" w:rsidRPr="0081615E">
        <w:rPr>
          <w:rFonts w:ascii="Arial" w:hAnsi="Arial" w:cs="Arial"/>
          <w:sz w:val="22"/>
          <w:szCs w:val="22"/>
        </w:rPr>
        <w:t xml:space="preserve"> </w:t>
      </w:r>
    </w:p>
    <w:p w:rsidR="00C84982" w:rsidRPr="0081615E" w:rsidRDefault="00A46027" w:rsidP="00DC3EC5">
      <w:pPr>
        <w:numPr>
          <w:ilvl w:val="0"/>
          <w:numId w:val="22"/>
        </w:numPr>
        <w:spacing w:before="120"/>
        <w:ind w:left="714" w:hanging="357"/>
        <w:jc w:val="both"/>
        <w:rPr>
          <w:sz w:val="22"/>
          <w:szCs w:val="22"/>
        </w:rPr>
      </w:pPr>
      <w:hyperlink r:id="rId8" w:history="1">
        <w:r w:rsidR="00EC1A59" w:rsidRPr="00DC3EC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EC1A59" w:rsidRPr="0081615E">
        <w:rPr>
          <w:rFonts w:ascii="Arial" w:hAnsi="Arial" w:cs="Arial"/>
          <w:sz w:val="22"/>
          <w:szCs w:val="22"/>
        </w:rPr>
        <w:t xml:space="preserve"> </w:t>
      </w:r>
    </w:p>
    <w:sectPr w:rsidR="00C84982" w:rsidRPr="0081615E" w:rsidSect="00A64EC7">
      <w:headerReference w:type="default" r:id="rId9"/>
      <w:pgSz w:w="11907" w:h="16840" w:code="9"/>
      <w:pgMar w:top="1985" w:right="1418" w:bottom="907" w:left="1418" w:header="851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6D" w:rsidRDefault="001A6E6D">
      <w:r>
        <w:separator/>
      </w:r>
    </w:p>
  </w:endnote>
  <w:endnote w:type="continuationSeparator" w:id="0">
    <w:p w:rsidR="001A6E6D" w:rsidRDefault="001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6D" w:rsidRDefault="001A6E6D">
      <w:r>
        <w:separator/>
      </w:r>
    </w:p>
  </w:footnote>
  <w:footnote w:type="continuationSeparator" w:id="0">
    <w:p w:rsidR="001A6E6D" w:rsidRDefault="001A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1E" w:rsidRPr="000400F9" w:rsidRDefault="00A9657B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F1E" w:rsidRPr="000400F9">
      <w:rPr>
        <w:rFonts w:ascii="Arial" w:hAnsi="Arial" w:cs="Arial"/>
        <w:b/>
        <w:sz w:val="22"/>
        <w:szCs w:val="22"/>
        <w:u w:val="single"/>
      </w:rPr>
      <w:t>Cabinet –</w:t>
    </w:r>
    <w:r w:rsidR="009A6F1E">
      <w:rPr>
        <w:rFonts w:ascii="Arial" w:hAnsi="Arial" w:cs="Arial"/>
        <w:b/>
        <w:sz w:val="22"/>
        <w:szCs w:val="22"/>
        <w:u w:val="single"/>
      </w:rPr>
      <w:t xml:space="preserve"> October 2009</w:t>
    </w:r>
  </w:p>
  <w:p w:rsidR="009A6F1E" w:rsidRDefault="009A6F1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Organisation Bill 2009</w:t>
    </w:r>
  </w:p>
  <w:p w:rsidR="009A6F1E" w:rsidRDefault="009A6F1E" w:rsidP="003961A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9A6F1E" w:rsidRDefault="009A6F1E" w:rsidP="00A64EC7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9A6F1E" w:rsidRPr="00500099" w:rsidRDefault="009A6F1E" w:rsidP="00500099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E680E"/>
    <w:multiLevelType w:val="hybridMultilevel"/>
    <w:tmpl w:val="69DC81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05C28"/>
    <w:multiLevelType w:val="multilevel"/>
    <w:tmpl w:val="A5485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E4432"/>
    <w:multiLevelType w:val="hybridMultilevel"/>
    <w:tmpl w:val="C734A5E8"/>
    <w:lvl w:ilvl="0" w:tplc="7CDC9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006F5"/>
    <w:multiLevelType w:val="hybridMultilevel"/>
    <w:tmpl w:val="3BA6C1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2BC5"/>
    <w:multiLevelType w:val="multilevel"/>
    <w:tmpl w:val="AD8EB970"/>
    <w:lvl w:ilvl="0">
      <w:start w:val="1"/>
      <w:numFmt w:val="decimal"/>
      <w:pStyle w:val="clausenumber"/>
      <w:suff w:val="space"/>
      <w:lvlText w:val="Clause %1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57"/>
        </w:tabs>
        <w:ind w:left="3257" w:hanging="360"/>
      </w:pPr>
      <w:rPr>
        <w:rFonts w:hint="default"/>
      </w:rPr>
    </w:lvl>
  </w:abstractNum>
  <w:abstractNum w:abstractNumId="8" w15:restartNumberingAfterBreak="0">
    <w:nsid w:val="4481405E"/>
    <w:multiLevelType w:val="hybridMultilevel"/>
    <w:tmpl w:val="C55282AC"/>
    <w:lvl w:ilvl="0" w:tplc="74CAE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1086"/>
    <w:multiLevelType w:val="hybridMultilevel"/>
    <w:tmpl w:val="3F66B2AA"/>
    <w:lvl w:ilvl="0" w:tplc="9DF2CB6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6613B"/>
    <w:multiLevelType w:val="hybridMultilevel"/>
    <w:tmpl w:val="A5485B5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3E64"/>
    <w:multiLevelType w:val="hybridMultilevel"/>
    <w:tmpl w:val="A950FD26"/>
    <w:lvl w:ilvl="0" w:tplc="E2C8D060"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eastAsia="Times New Roman" w:hAnsi="Symbol" w:cs="Times New Roman"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5301"/>
    <w:multiLevelType w:val="multilevel"/>
    <w:tmpl w:val="C55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5D24CCD"/>
    <w:multiLevelType w:val="hybridMultilevel"/>
    <w:tmpl w:val="4232C458"/>
    <w:lvl w:ilvl="0" w:tplc="DF880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6E00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BC3CBA5E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0B3013"/>
    <w:multiLevelType w:val="hybridMultilevel"/>
    <w:tmpl w:val="27288A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6"/>
  </w:num>
  <w:num w:numId="5">
    <w:abstractNumId w:val="2"/>
  </w:num>
  <w:num w:numId="6">
    <w:abstractNumId w:val="22"/>
  </w:num>
  <w:num w:numId="7">
    <w:abstractNumId w:val="21"/>
  </w:num>
  <w:num w:numId="8">
    <w:abstractNumId w:val="19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17"/>
  </w:num>
  <w:num w:numId="15">
    <w:abstractNumId w:val="18"/>
  </w:num>
  <w:num w:numId="16">
    <w:abstractNumId w:val="11"/>
  </w:num>
  <w:num w:numId="17">
    <w:abstractNumId w:val="3"/>
  </w:num>
  <w:num w:numId="18">
    <w:abstractNumId w:val="8"/>
  </w:num>
  <w:num w:numId="19">
    <w:abstractNumId w:val="7"/>
  </w:num>
  <w:num w:numId="20">
    <w:abstractNumId w:val="4"/>
  </w:num>
  <w:num w:numId="21">
    <w:abstractNumId w:val="14"/>
  </w:num>
  <w:num w:numId="22">
    <w:abstractNumId w:val="1"/>
  </w:num>
  <w:num w:numId="23">
    <w:abstractNumId w:val="1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21B34"/>
    <w:rsid w:val="00024873"/>
    <w:rsid w:val="000400F9"/>
    <w:rsid w:val="000B041C"/>
    <w:rsid w:val="000B174F"/>
    <w:rsid w:val="000B545C"/>
    <w:rsid w:val="000E59E6"/>
    <w:rsid w:val="001141E1"/>
    <w:rsid w:val="00133013"/>
    <w:rsid w:val="00133A34"/>
    <w:rsid w:val="00160524"/>
    <w:rsid w:val="0017670B"/>
    <w:rsid w:val="001A6E6D"/>
    <w:rsid w:val="001F04A4"/>
    <w:rsid w:val="002056FF"/>
    <w:rsid w:val="00206E85"/>
    <w:rsid w:val="0021674C"/>
    <w:rsid w:val="00231BBD"/>
    <w:rsid w:val="00254E35"/>
    <w:rsid w:val="0028053C"/>
    <w:rsid w:val="002F57E4"/>
    <w:rsid w:val="00307342"/>
    <w:rsid w:val="00314BEB"/>
    <w:rsid w:val="00314FEB"/>
    <w:rsid w:val="0032048B"/>
    <w:rsid w:val="003263DD"/>
    <w:rsid w:val="00346156"/>
    <w:rsid w:val="0036304B"/>
    <w:rsid w:val="00382380"/>
    <w:rsid w:val="003961A1"/>
    <w:rsid w:val="003A269C"/>
    <w:rsid w:val="003A2E0F"/>
    <w:rsid w:val="003C3732"/>
    <w:rsid w:val="003D501D"/>
    <w:rsid w:val="003F6263"/>
    <w:rsid w:val="004036DA"/>
    <w:rsid w:val="00407F6B"/>
    <w:rsid w:val="00435BE5"/>
    <w:rsid w:val="00456CDD"/>
    <w:rsid w:val="0048019C"/>
    <w:rsid w:val="00481458"/>
    <w:rsid w:val="00486A99"/>
    <w:rsid w:val="00490874"/>
    <w:rsid w:val="004A7FF3"/>
    <w:rsid w:val="004D3A74"/>
    <w:rsid w:val="004E6C38"/>
    <w:rsid w:val="004F5028"/>
    <w:rsid w:val="00500099"/>
    <w:rsid w:val="00503C63"/>
    <w:rsid w:val="0051590A"/>
    <w:rsid w:val="00535980"/>
    <w:rsid w:val="005503FF"/>
    <w:rsid w:val="00553733"/>
    <w:rsid w:val="00562AE4"/>
    <w:rsid w:val="0056401D"/>
    <w:rsid w:val="005A17A9"/>
    <w:rsid w:val="005B1D9B"/>
    <w:rsid w:val="005C224F"/>
    <w:rsid w:val="005F022B"/>
    <w:rsid w:val="006100CC"/>
    <w:rsid w:val="00644076"/>
    <w:rsid w:val="006631CF"/>
    <w:rsid w:val="00682036"/>
    <w:rsid w:val="006900FE"/>
    <w:rsid w:val="006B3B54"/>
    <w:rsid w:val="006D0869"/>
    <w:rsid w:val="006E12FB"/>
    <w:rsid w:val="006E6713"/>
    <w:rsid w:val="006F0E9B"/>
    <w:rsid w:val="007060D7"/>
    <w:rsid w:val="00710AAE"/>
    <w:rsid w:val="00726F36"/>
    <w:rsid w:val="0076270E"/>
    <w:rsid w:val="00796B3E"/>
    <w:rsid w:val="007A25F4"/>
    <w:rsid w:val="007A6599"/>
    <w:rsid w:val="007D3B9D"/>
    <w:rsid w:val="007F52D6"/>
    <w:rsid w:val="00800CBB"/>
    <w:rsid w:val="0081615E"/>
    <w:rsid w:val="0082040E"/>
    <w:rsid w:val="00824FCF"/>
    <w:rsid w:val="00845D3E"/>
    <w:rsid w:val="008A5246"/>
    <w:rsid w:val="008A5F1B"/>
    <w:rsid w:val="008B7E17"/>
    <w:rsid w:val="008C3732"/>
    <w:rsid w:val="008F44CD"/>
    <w:rsid w:val="00900D2D"/>
    <w:rsid w:val="00922A5B"/>
    <w:rsid w:val="0096618D"/>
    <w:rsid w:val="00981EF9"/>
    <w:rsid w:val="009A6F1E"/>
    <w:rsid w:val="009C1D0C"/>
    <w:rsid w:val="009D0C12"/>
    <w:rsid w:val="009F5476"/>
    <w:rsid w:val="00A1181B"/>
    <w:rsid w:val="00A140E0"/>
    <w:rsid w:val="00A20C0E"/>
    <w:rsid w:val="00A21DF8"/>
    <w:rsid w:val="00A265D2"/>
    <w:rsid w:val="00A272E8"/>
    <w:rsid w:val="00A30F55"/>
    <w:rsid w:val="00A32ADF"/>
    <w:rsid w:val="00A354FF"/>
    <w:rsid w:val="00A46027"/>
    <w:rsid w:val="00A527A5"/>
    <w:rsid w:val="00A64EC7"/>
    <w:rsid w:val="00A807C7"/>
    <w:rsid w:val="00A85CC2"/>
    <w:rsid w:val="00A9657B"/>
    <w:rsid w:val="00AA128C"/>
    <w:rsid w:val="00AB6637"/>
    <w:rsid w:val="00AE1995"/>
    <w:rsid w:val="00B40BDF"/>
    <w:rsid w:val="00C07656"/>
    <w:rsid w:val="00C10B24"/>
    <w:rsid w:val="00C64CED"/>
    <w:rsid w:val="00C750C1"/>
    <w:rsid w:val="00C805EC"/>
    <w:rsid w:val="00C84982"/>
    <w:rsid w:val="00C85B71"/>
    <w:rsid w:val="00C91588"/>
    <w:rsid w:val="00CC761F"/>
    <w:rsid w:val="00CE6FBA"/>
    <w:rsid w:val="00D05246"/>
    <w:rsid w:val="00D22410"/>
    <w:rsid w:val="00D512FF"/>
    <w:rsid w:val="00D54601"/>
    <w:rsid w:val="00D83DA9"/>
    <w:rsid w:val="00DC3EC5"/>
    <w:rsid w:val="00DD3CD5"/>
    <w:rsid w:val="00DD497C"/>
    <w:rsid w:val="00DF4650"/>
    <w:rsid w:val="00E143EE"/>
    <w:rsid w:val="00E463C2"/>
    <w:rsid w:val="00E73D61"/>
    <w:rsid w:val="00EA00BF"/>
    <w:rsid w:val="00EC1A59"/>
    <w:rsid w:val="00EE08A2"/>
    <w:rsid w:val="00F10DF9"/>
    <w:rsid w:val="00F2058D"/>
    <w:rsid w:val="00F478C4"/>
    <w:rsid w:val="00F756F8"/>
    <w:rsid w:val="00F85699"/>
    <w:rsid w:val="00FB54A6"/>
    <w:rsid w:val="00FD3FE2"/>
    <w:rsid w:val="00FF277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FF277A"/>
    <w:rPr>
      <w:sz w:val="16"/>
      <w:szCs w:val="16"/>
    </w:rPr>
  </w:style>
  <w:style w:type="paragraph" w:styleId="CommentText">
    <w:name w:val="annotation text"/>
    <w:basedOn w:val="Normal"/>
    <w:semiHidden/>
    <w:rsid w:val="00FF27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277A"/>
    <w:rPr>
      <w:b/>
      <w:bCs/>
    </w:rPr>
  </w:style>
  <w:style w:type="paragraph" w:customStyle="1" w:styleId="clausenumber">
    <w:name w:val="clause number"/>
    <w:basedOn w:val="Normal"/>
    <w:rsid w:val="0081615E"/>
    <w:pPr>
      <w:numPr>
        <w:numId w:val="19"/>
      </w:numPr>
      <w:jc w:val="both"/>
    </w:pPr>
    <w:rPr>
      <w:szCs w:val="20"/>
    </w:rPr>
  </w:style>
  <w:style w:type="character" w:styleId="Hyperlink">
    <w:name w:val="Hyperlink"/>
    <w:basedOn w:val="DefaultParagraphFont"/>
    <w:rsid w:val="00DC3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lanatory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1327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</CharactersWithSpaces>
  <SharedDoc>false</SharedDoc>
  <HyperlinkBase>https://www.cabinet.qld.gov.au/documents/2009/Oct/Criminal Organisation Bill 2009/</HyperlinkBase>
  <HLinks>
    <vt:vector size="12" baseType="variant">
      <vt:variant>
        <vt:i4>6225948</vt:i4>
      </vt:variant>
      <vt:variant>
        <vt:i4>3</vt:i4>
      </vt:variant>
      <vt:variant>
        <vt:i4>0</vt:i4>
      </vt:variant>
      <vt:variant>
        <vt:i4>5</vt:i4>
      </vt:variant>
      <vt:variant>
        <vt:lpwstr>Attachments/Explanatory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gangs,bikies,bouncers</cp:keywords>
  <dc:description/>
  <cp:lastModifiedBy/>
  <cp:revision>2</cp:revision>
  <cp:lastPrinted>2010-08-30T01:53:00Z</cp:lastPrinted>
  <dcterms:created xsi:type="dcterms:W3CDTF">2017-10-24T22:03:00Z</dcterms:created>
  <dcterms:modified xsi:type="dcterms:W3CDTF">2018-03-06T00:59:00Z</dcterms:modified>
  <cp:category>Crime,Legislation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735971085</vt:i4>
  </property>
  <property fmtid="{D5CDD505-2E9C-101B-9397-08002B2CF9AE}" pid="3" name="_NewReviewCycle">
    <vt:lpwstr/>
  </property>
  <property fmtid="{D5CDD505-2E9C-101B-9397-08002B2CF9AE}" pid="4" name="_PreviousAdHocReviewCycleID">
    <vt:i4>-225184057</vt:i4>
  </property>
  <property fmtid="{D5CDD505-2E9C-101B-9397-08002B2CF9AE}" pid="5" name="_ReviewingToolsShownOnce">
    <vt:lpwstr/>
  </property>
</Properties>
</file>